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6" w:line="259"/>
        <w:ind w:right="0" w:left="65" w:firstLine="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3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34"/>
          <w:shd w:fill="auto" w:val="clear"/>
        </w:rPr>
        <w:t xml:space="preserve">STATUT FUNDACJI </w:t>
      </w:r>
    </w:p>
    <w:p>
      <w:pPr>
        <w:spacing w:before="0" w:after="52" w:line="259"/>
        <w:ind w:right="0" w:left="69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" w:line="259"/>
        <w:ind w:right="1" w:left="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8"/>
          <w:shd w:fill="auto" w:val="clear"/>
        </w:rPr>
        <w:t xml:space="preserve">Medicinae Pro Omnibus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8"/>
          <w:shd w:fill="auto" w:val="clear"/>
        </w:rPr>
        <w:t xml:space="preserve">”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I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Postanowienia ogólne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§1. </w:t>
      </w:r>
    </w:p>
    <w:p>
      <w:p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pod nazwa Medicinae Pro Omnibus zwana dalej Fundacj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ą, ustanowionej przez Fundatora aktem notarialnym Repertorium A-73263/2022 na czas nieograniczony.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§2. </w:t>
      </w:r>
    </w:p>
    <w:p>
      <w:pPr>
        <w:numPr>
          <w:ilvl w:val="0"/>
          <w:numId w:val="1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posiada osobowo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ść prawną. </w:t>
      </w:r>
    </w:p>
    <w:p>
      <w:pPr>
        <w:numPr>
          <w:ilvl w:val="0"/>
          <w:numId w:val="1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zakłada się na czas nieograniczony. </w:t>
      </w:r>
    </w:p>
    <w:p>
      <w:pPr>
        <w:numPr>
          <w:ilvl w:val="0"/>
          <w:numId w:val="1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tworzyć oddziały, filie oraz przedstawicielstwa w kraju i za granicą a także łączyć się z innymi fundacjami. </w:t>
      </w:r>
    </w:p>
    <w:p>
      <w:pPr>
        <w:numPr>
          <w:ilvl w:val="0"/>
          <w:numId w:val="1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Nadzór nad Fundacj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sprawuje minister właściwy do spraw zdrowia.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§3. </w:t>
      </w:r>
    </w:p>
    <w:p>
      <w:pPr>
        <w:numPr>
          <w:ilvl w:val="0"/>
          <w:numId w:val="15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Siedzib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fundacji jest miasto Wisła. </w:t>
      </w:r>
    </w:p>
    <w:p>
      <w:pPr>
        <w:numPr>
          <w:ilvl w:val="0"/>
          <w:numId w:val="15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Terenem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łania Fundacji jest obszar Rzeczypospolitej Polskiej. </w:t>
      </w:r>
    </w:p>
    <w:p>
      <w:pPr>
        <w:numPr>
          <w:ilvl w:val="0"/>
          <w:numId w:val="15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w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łaściwego realizowania swoich cel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Fundacji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prowadzić działalność także poza granicami Rzeczypospolitej Polskiej.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§4. </w:t>
      </w:r>
    </w:p>
    <w:p>
      <w:pPr>
        <w:numPr>
          <w:ilvl w:val="0"/>
          <w:numId w:val="1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do celów wspó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łpracy z zagranicą posługuje się swoją nazwą. </w:t>
      </w:r>
    </w:p>
    <w:p>
      <w:pPr>
        <w:numPr>
          <w:ilvl w:val="0"/>
          <w:numId w:val="1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posługiwać się odpowiadającym nazwie znakiem graficznym.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II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Cele i zasady fundacji </w:t>
      </w:r>
    </w:p>
    <w:p>
      <w:pPr>
        <w:spacing w:before="0" w:after="47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§5. </w:t>
      </w:r>
    </w:p>
    <w:p>
      <w:pPr>
        <w:tabs>
          <w:tab w:val="center" w:pos="4258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celów fundacji nale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ży działalność w sferze zadań publicznych w zakresie: </w:t>
      </w:r>
    </w:p>
    <w:p>
      <w:pPr>
        <w:numPr>
          <w:ilvl w:val="0"/>
          <w:numId w:val="25"/>
        </w:numPr>
        <w:spacing w:before="0" w:after="48" w:line="259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Pomocy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łecznej, w tym pomocy rodzinom i osobom w trudnej sytuacji życiowej. społecznej, gospodarczej, politycznej oraz wyr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ównywaniu szans tych ludzi i ich rodzin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integracji i reintegracji zawodowej, szkolnej, przedszkolnej                i społecznej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zagro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żonych wykluczeniem społecznym.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charytatywnej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gospodarczej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Ochrony zdrowia i promocji zdrowia, w tym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leczniczej w rozumieniu ustawy z dnia 15 kwietnia 2011 o działalności leczniczej (Dziennik Ustaw z 2016 r. poz. 1638)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ównych praw kobiet i m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ężczyzn.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zdrowia dzieci w chorobach przewlekłych.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w wieku emerytalnym i rentowym oraz wszystkich niepe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łnosprawnych lub ograniczonych umysłowo.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rozwoju wsp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ólnot i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łeczności lokalnych.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zdrowia i edukacji oraz zdrowego wypoczynku dzieci i młodzieży.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zdrowia i edukacji oraz zdrowego wypoczynku dorosłych                     i senior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oraz kombatantów.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wparcia wszystkich uzależnionych i chorych psychicznie potrzebujących wsparcia profesjonalnej opieki medycznej w domu i miejscu wypoczynku oraz rekonwalescencji.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nauki, sztuki, szkolnictwa, także wyższego, edukacji, oświaty               i wychowania.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Wspierania i upowszechniania kultury sportowej oraz wspierania sportu opiek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medyczną i edukacyjną.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ekologii, ochrony środowiska i ochrony zwierząt i roślin oraz ochrony dziedzictwa przyrodniczego.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turystyki, w tym zdrowotnej oraz krajoznawstwa.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poradnictwa obywatelskiego.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Promocja i organizacja wolontariatu w kraju i za granic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rodziny, macierzyństwa, rodzicielstwa, upowszechniania zdrowia i ochrony praw dziecka.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Przeciwdzia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 patologiom społecznym i uzależnieniom.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wi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ęźniom.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Edukacja zdrowotna w szko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łach, domach miejscach publicznych, social media.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cateringowa dietetyczna. 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medycznej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psychologicznej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psychiatrycznej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rehabilitacyjnej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pielęgniarskiej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lekarskiej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medycznej edukacyjnej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opiekuńczej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fizjoterapeutycznej stacjonarnej i online.</w:t>
      </w:r>
    </w:p>
    <w:p>
      <w:pPr>
        <w:numPr>
          <w:ilvl w:val="0"/>
          <w:numId w:val="25"/>
        </w:numPr>
        <w:spacing w:before="0" w:after="51" w:line="258"/>
        <w:ind w:right="0" w:left="72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Wsparcie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medyczny zabiegowej stacjonarnej i online.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§6. </w:t>
      </w:r>
    </w:p>
    <w:p>
      <w:pPr>
        <w:numPr>
          <w:ilvl w:val="0"/>
          <w:numId w:val="2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realizuje swoje cele mi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ędzy innymi poprzez niżej wymienione formy działalności: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Prowadzenie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gospodarczej, wyszczeg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ólnionej w pkt. 2.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Prowadzenie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badawczo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rozwojowej, informacyjnej, edukacyjnej i popularyzacyjnej w zakresie problematyki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starszych i dzieci, </w:t>
      </w:r>
    </w:p>
    <w:p>
      <w:pPr>
        <w:numPr>
          <w:ilvl w:val="0"/>
          <w:numId w:val="29"/>
        </w:numPr>
        <w:spacing w:before="0" w:after="8" w:line="29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Podejmowanie </w:t>
        <w:tab/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łań </w:t>
        <w:tab/>
        <w:t xml:space="preserve">psychologicznych, </w:t>
        <w:tab/>
        <w:t xml:space="preserve">psychiatrycznych, </w:t>
        <w:tab/>
        <w:t xml:space="preserve">pedagogicznych, medycznych, opiekuńczych, prawnych na rzecz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potrzebuj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i ich otoczenia a także z przemocą wobec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starszych.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Wspieranie inicjatyw 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łużących celowi fundacji oraz popieranie nowatorskich projekt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w tej dziedzinie i uczestniczenie w nich.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 na rzecz niepełnosprawnych i chorych dzieci.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Organizowanie i pomoc w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łaniach szkoleniowych, prowadzenie kurs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i wyk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ład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sympozjów, seminariów, warsztatów naukowych, prac badawczych, pisanie ksi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ążek, artykuł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prowadzenie prac badawczych, konferencji 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za zadanie przekazywanie wiedzy, wymianę doświadczeń statusowych Fundacji.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Organizowanie rozmaitych form aktywno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ści indywidulanych i zborowych, w tym wspieranie i upowszechnianie kultury fizycznej.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Pobudzenie, organizowanie i prowadzenie edukacji zdrowotnej.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łpraca z osobami i instytucjami w zakresie zbierania informacji, bazy danych, wymiany doświadczeń, i tworzenia nowych rozwiązań w dziedzinie medycyny i pomocy społecznej osobą starszym i dzieciom, w tym poszkodowanych zdrowotnie.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Inicjowanie i organizowanie akcji 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na celu zbieranie środk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finansowych na rzecz Fundacji, w tym takich jak: wystawy, pokazy, odczyty, aukcje i inne.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Wspomaganie osób prawych i fizycznych, jednostek organizacyjnych nieposiadaj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ącej osobowości prawnej oraz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fizycznych, których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jest zbieżna z celami obranymi przez Fundacje.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Prowadzenie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na rzecz integracji i reintegracji zawodowej i społecznej, w tym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starszych i chorych dzieci.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Promocja zatrudnienia i aktywizacji zawodowej osób pozostaj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bez pracy i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zagro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żonych zwolnieniem z pracy.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 w dziedzinie promocji i ochrony zdrowia.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Wspieranie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łań na rzecz 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ównych praw kobiet i dzieci oraz m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ężczyzn.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Wspieranie finansowe, rzeczowe, merytoryczne osób fizycznych wskazanych powy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żej. </w:t>
      </w:r>
    </w:p>
    <w:p>
      <w:pPr>
        <w:numPr>
          <w:ilvl w:val="0"/>
          <w:numId w:val="29"/>
        </w:numPr>
        <w:spacing w:before="0" w:after="6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prowadzi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gospodarczą w następujących obszarach, sklasyfikowanych następującymi kodami PKD, z zastrzeżeniem, iż w przypadku, gdy prowadzenie 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óregokolwiek z wy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żej wymienionych rodzaj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wymaga specjalnego zezwolenia, licencji lub koncesji, Fundacja będzie tę działalność prowadzić po uzyskaniu odpowiedniego zezwolenia, licencji lub koncesji: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88.10.Z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Pomoc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łeczna bez zakwaterowania dla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w podesz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łym wieku i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niepe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łnosprawnych,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86.21.Z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Praktyka lekarska og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86.22.Z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Praktyka lekarska specjalistyczna,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</w:t>
        <w:tab/>
        <w:t xml:space="preserve">85.59.B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  <w:tab/>
        <w:t xml:space="preserve">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 </w:t>
        <w:tab/>
        <w:t xml:space="preserve">pozaszkolne </w:t>
        <w:tab/>
        <w:t xml:space="preserve">formy </w:t>
        <w:tab/>
        <w:t xml:space="preserve">edukacji, </w:t>
        <w:tab/>
        <w:t xml:space="preserve">gdzie </w:t>
        <w:tab/>
        <w:t xml:space="preserve">indziej niesklasyfikowane,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86.90.A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fizjoterapeutyczna,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86.90.C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Praktyka piel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ęgniarek i położnych,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82.11.Z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usługowa związana z administracyjną obsługą biura,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86.90.D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paramedyczna, 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87.30.Z.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Pomoc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łeczna z zakwaterowaniem dla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w podesz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łym wieku i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niepe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łnosprawnych,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PKD. 86.90.E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 działalność w zakresie opieki zdrowotnej, gdzie indziej niesklasyfikowana,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87.10.Z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Pomoc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łeczna z zakwaterowaniem zapewniająca opiekę pielęgniarską,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87.20.Z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Pomoc spo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łeczna z zakwaterowaniem dla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z zaburzeniami psychicznymi,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87.90.Z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 pomoc społeczna z zakwaterowaniem,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88.99.Z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 pomoc społeczna bez zakwaterowania, gdzie indziej niesklasyfikowana,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94.11.Z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organizacji komercyjnych i pracodawc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94.12.Z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organizacji profesjonalnych,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46.46.Z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Sprzeda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hurtowa wyrob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farmaceutycznych i medycznych,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47.29.Z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Sprzeda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detaliczna pozostałej żywności prowadzona w wyspecjalizowanych sklepach,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46.17.Z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agent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zajmuj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się sprzedażą żywności, napoj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i wyrobów tytoniowych,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70.22.Z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 doradztwo w zakresie prowadzenia działalności gospodarczej i zarządzania,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74.30.Z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związana z tłumaczeniami,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74.90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 działalność profesjonalna, naukowa i techniczna, gdzie indziej niesklasyfikowana, </w:t>
      </w:r>
    </w:p>
    <w:p>
      <w:pPr>
        <w:numPr>
          <w:ilvl w:val="0"/>
          <w:numId w:val="2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PKD 82.91.Z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świadczona przez agencje inkasa i biura kredytowe.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III </w:t>
      </w:r>
    </w:p>
    <w:p>
      <w:pPr>
        <w:spacing w:before="0" w:after="44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Maj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ątek i dochody fundacji. </w:t>
      </w:r>
    </w:p>
    <w:p>
      <w:pPr>
        <w:spacing w:before="0" w:after="47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§7. </w:t>
      </w:r>
    </w:p>
    <w:p>
      <w:pPr>
        <w:numPr>
          <w:ilvl w:val="0"/>
          <w:numId w:val="4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ątek pieniężny stanowi wkład pieniężny w kwocie 2000zł (dw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óch tysi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ęcy złotych) stanowiący kapitał założycielski. </w:t>
      </w:r>
    </w:p>
    <w:p>
      <w:pPr>
        <w:numPr>
          <w:ilvl w:val="0"/>
          <w:numId w:val="4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ątek Fundacji stanowią też środki finansowe, nieruchomości i ruchomości nabyte w toku jej działalności.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§8.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Dochodami fundacji 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ą: subwencje, granty, dotacje, darowizny, spadki i zapisy otrzymane zar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ówno z kraju i zagranicy.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Dochody z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gospodarczej w zakresie działalności medycznej, prawnej, wydawniczej i szkoleniowej.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Dochody z aktywów, nieruchomo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ści, praw majątkowych, w szczeg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ści akcji, papier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warto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ściowych i innych instrument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finansowych dost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ępnych na rynku kapitałowym.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Dochód z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przeznacza się na działalność statusową i utrzymanie pracujących na jej rzecz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Fundacji wraz z decyzją Fundatora może zbywać prawa majątkowe Fundacji pod warunkiem, że uzyskane ze sprzedaży sumy, będą wykorzystane w spos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okre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ślony w puncie poprzedzającym.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ątek fundacji może być lokowany w papierach wartościowych, rachunkach bankowych lub w inny spos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zabezpieczaj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 majątek fundacji. </w:t>
      </w:r>
    </w:p>
    <w:p>
      <w:pPr>
        <w:numPr>
          <w:ilvl w:val="0"/>
          <w:numId w:val="4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prowadzi gospodark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finansową i księgi rachunkowe na zasadach określonych odrębnymi przepisami.  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IV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Organy fundacji </w:t>
      </w:r>
    </w:p>
    <w:p>
      <w:pPr>
        <w:spacing w:before="0" w:after="47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§9. </w:t>
      </w:r>
    </w:p>
    <w:p>
      <w:pPr>
        <w:tabs>
          <w:tab w:val="center" w:pos="1746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Organami Fundacji 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ą: </w:t>
      </w:r>
    </w:p>
    <w:p>
      <w:pPr>
        <w:numPr>
          <w:ilvl w:val="0"/>
          <w:numId w:val="49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Rada Fundacji, zwana dalej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Rad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ą”; </w:t>
      </w:r>
    </w:p>
    <w:p>
      <w:pPr>
        <w:numPr>
          <w:ilvl w:val="0"/>
          <w:numId w:val="49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Fundacji, zwany dalej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ądem”;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Rada Fundacji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§10. </w:t>
      </w:r>
    </w:p>
    <w:p>
      <w:pPr>
        <w:tabs>
          <w:tab w:val="right" w:pos="9072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 </w:t>
        <w:tab/>
        <w:t xml:space="preserve">Rada Fundacji stanowi organ kolegialny oraz jest organem o uprawnieniach kontrolnych. 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§11. </w:t>
      </w:r>
    </w:p>
    <w:p>
      <w:pPr>
        <w:numPr>
          <w:ilvl w:val="0"/>
          <w:numId w:val="5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sk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ład Rady Fundacji wchodzą 3 osoby, powoływanych przez Fundatora na okres 3 lat. </w:t>
      </w:r>
    </w:p>
    <w:p>
      <w:pPr>
        <w:numPr>
          <w:ilvl w:val="0"/>
          <w:numId w:val="5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Odwo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 Członka Rady może nastąpić przez Fundatora w każdym czasie przed upływem kadencji Rady. </w:t>
      </w:r>
    </w:p>
    <w:p>
      <w:pPr>
        <w:numPr>
          <w:ilvl w:val="0"/>
          <w:numId w:val="5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łonkostwo w Radzie ustaje w przypadku pisemnej rezygnacji z członkostwa, w chwili śmierci członka lub skazania prawomocnym wyrokiem za przestępstwo umyślnie ścigane z oskarżenia publicznego lub przestępstwo skarbowe. </w:t>
      </w:r>
    </w:p>
    <w:p>
      <w:pPr>
        <w:spacing w:before="0" w:after="47" w:line="259"/>
        <w:ind w:right="0" w:left="70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§12.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Rada pracuje na zebraniach zwo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łanych przez Przewodniczącego Rady lub innego upoważnionego przez nią członka Rady z własnej inicjatywy lub na wniosek Prezesa Zarządu lub Fundatora.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Rada obraduje na posiedzeniach nie rzadziej ni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 2 razy roku.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 zwo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łaniu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Rady nale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ży powiadomić z minimum 2 tygodniowym wyprzedzeniem na adres email wskazany przez członka organu. Za zgodą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termin ten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ulec zmianie.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posiedzeniu Rady uczestniczy Fundator i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łonek Zarządu w celu składania wyjaśnień.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udzia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łu w posiedzeniu Rady mogą zostać zaproszone osoby i przedstawiciele organizacji kt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órych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łalność jest zbieżna z celami Fundacji. </w:t>
      </w:r>
    </w:p>
    <w:p>
      <w:pPr>
        <w:numPr>
          <w:ilvl w:val="0"/>
          <w:numId w:val="6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 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ób wymienionych w ust. 5 powy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żej w posiedzeniu Rady ma charakter doradczy i kontrolny. </w:t>
      </w:r>
    </w:p>
    <w:p>
      <w:pPr>
        <w:spacing w:before="0" w:after="0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§13. </w:t>
      </w:r>
    </w:p>
    <w:p>
      <w:pPr>
        <w:numPr>
          <w:ilvl w:val="0"/>
          <w:numId w:val="63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Uchwa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 Rady zapadają zwykłą większością głos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z tym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dla większości tych uchwał wymagana jest obecność co najmniej połowy składu jej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w tym </w:t>
      </w:r>
    </w:p>
    <w:p>
      <w:pPr>
        <w:spacing w:before="0" w:after="51" w:line="258"/>
        <w:ind w:right="0" w:left="715" w:hanging="1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Przewodnicz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ącego, lub w razie jego nieobecności, Wiceprzewodniczącego. </w:t>
      </w:r>
    </w:p>
    <w:p>
      <w:pPr>
        <w:numPr>
          <w:ilvl w:val="0"/>
          <w:numId w:val="65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razie równej ilo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ści głos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oddanych za i przeciw danej uchwale decyduje g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łos Przewodniczącego, lub w razie jego nieobecności, Wiceprzewodniczącego. </w:t>
      </w:r>
    </w:p>
    <w:p>
      <w:pPr>
        <w:numPr>
          <w:ilvl w:val="0"/>
          <w:numId w:val="65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Ka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żdy członek Rady ma jeden glos.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§14. </w:t>
      </w:r>
    </w:p>
    <w:p>
      <w:pPr>
        <w:tabs>
          <w:tab w:val="center" w:pos="2065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kompetencji Rady nale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ży: </w:t>
      </w:r>
    </w:p>
    <w:p>
      <w:pPr>
        <w:numPr>
          <w:ilvl w:val="0"/>
          <w:numId w:val="6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Nadzór nad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łaniem fundacji, poprzez:</w:t>
      </w:r>
    </w:p>
    <w:p>
      <w:pPr>
        <w:numPr>
          <w:ilvl w:val="0"/>
          <w:numId w:val="69"/>
        </w:numPr>
        <w:spacing w:before="0" w:after="51" w:line="258"/>
        <w:ind w:right="0" w:left="180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ślanie kierunk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fundacji, uchwalanie rocznych i wieloletnich program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łania Fundacji. </w:t>
      </w:r>
    </w:p>
    <w:p>
      <w:pPr>
        <w:numPr>
          <w:ilvl w:val="0"/>
          <w:numId w:val="69"/>
        </w:numPr>
        <w:spacing w:before="0" w:after="51" w:line="258"/>
        <w:ind w:right="0" w:left="1800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Przyjmowanie corocznych sprawozda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ń Zarządu z działalności i udzielanie im absolutorium</w:t>
      </w:r>
    </w:p>
    <w:p>
      <w:pPr>
        <w:numPr>
          <w:ilvl w:val="0"/>
          <w:numId w:val="6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Akceptacja programów i planów Fundacji. </w:t>
      </w:r>
    </w:p>
    <w:p>
      <w:pPr>
        <w:numPr>
          <w:ilvl w:val="0"/>
          <w:numId w:val="6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Ocena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 Zarządu. </w:t>
      </w:r>
    </w:p>
    <w:p>
      <w:pPr>
        <w:numPr>
          <w:ilvl w:val="0"/>
          <w:numId w:val="6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Wyra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żanie opinii w sprawach przedstawianych przez Zarząd. </w:t>
      </w:r>
    </w:p>
    <w:p>
      <w:pPr>
        <w:numPr>
          <w:ilvl w:val="0"/>
          <w:numId w:val="69"/>
        </w:numPr>
        <w:spacing w:before="0" w:after="51" w:line="258"/>
        <w:ind w:right="0" w:left="1065" w:hanging="36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Wgl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we wszystkie dokumenty Fundacji.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ąd Fundacji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§15 </w:t>
      </w:r>
    </w:p>
    <w:p>
      <w:pPr>
        <w:spacing w:before="0" w:after="5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7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Fundacji składa się z 1-4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i jest powo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ływany nakres 2 lat przez Fundatora. </w:t>
      </w:r>
    </w:p>
    <w:p>
      <w:pPr>
        <w:numPr>
          <w:ilvl w:val="0"/>
          <w:numId w:val="7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łonkostwo z Zarządzie ustaje w chwili śmierci, odwołania lub rezygnacji. </w:t>
      </w:r>
    </w:p>
    <w:p>
      <w:pPr>
        <w:numPr>
          <w:ilvl w:val="0"/>
          <w:numId w:val="7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Odwo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łanie Członka Zarządu może nastąpić przez Fundatora w każdym czasie przed upływem kadencji Zarządu. </w:t>
      </w:r>
    </w:p>
    <w:p>
      <w:pPr>
        <w:numPr>
          <w:ilvl w:val="0"/>
          <w:numId w:val="7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łonkowie Zarządu nie mogą być skazani prawomocnym wyrokiem za przestępstwo umyślnie ścigane z oskarżenia publicznego lub w następstwie przestępstwa skarbowego. </w:t>
      </w:r>
    </w:p>
    <w:p>
      <w:pPr>
        <w:numPr>
          <w:ilvl w:val="0"/>
          <w:numId w:val="77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Fundator w ka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żdym czasie może odwołać Prezesa, Prokurenta oraz Zarząd Fundacji i powołać nowy. 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§16. </w:t>
      </w:r>
    </w:p>
    <w:p>
      <w:p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Pracami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kieruje Prezes Zarządu lub prokurent powoływany i odwoływany przez Fundatora. 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§17. </w:t>
      </w:r>
    </w:p>
    <w:p>
      <w:pPr>
        <w:numPr>
          <w:ilvl w:val="0"/>
          <w:numId w:val="83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kierują i reprezentują na zewnątrz: Zarząd. </w:t>
      </w:r>
    </w:p>
    <w:p>
      <w:pPr>
        <w:numPr>
          <w:ilvl w:val="0"/>
          <w:numId w:val="83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Prezes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uprawniony jest do jednoosobowego składania oświadczeń woli w imieniu fundacji, natomiast wiceprezes składa oświadczenia woli w imieniu fundacji działając łącznie z członkiem Zarządu.</w:t>
      </w:r>
    </w:p>
    <w:p>
      <w:pPr>
        <w:numPr>
          <w:ilvl w:val="0"/>
          <w:numId w:val="83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działa wg regulaminu zatwierdzonego przez Zarząd i Fundatora każdorazowo przed jakąkolwiek decyzją ostateczna decyzja zależy tylko i wyłącznie od Fundatora. </w:t>
      </w:r>
    </w:p>
    <w:p>
      <w:pPr>
        <w:numPr>
          <w:ilvl w:val="0"/>
          <w:numId w:val="83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świadczenia woli składa Zarząd.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0" w:line="259"/>
        <w:ind w:right="0" w:left="4336" w:hanging="1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§18. </w:t>
      </w:r>
    </w:p>
    <w:p>
      <w:pPr>
        <w:numPr>
          <w:ilvl w:val="0"/>
          <w:numId w:val="86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podejmuje uchwały większością głos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przy czym co do wa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żności uchwał wymagana jest obecność co najmniej połowy jego członk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ów, w tym Prezesa i za porozumieniem z Fundatorem, gdzie tylko do niego nale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ży pełna akceptacja przedstawionego materiału. </w:t>
      </w:r>
    </w:p>
    <w:p>
      <w:pPr>
        <w:numPr>
          <w:ilvl w:val="0"/>
          <w:numId w:val="86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Posiedzenie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z Fundatorem odbywa się zawsze na wniosek Fundatora                        i przynajmniej raz na kwartał. </w:t>
      </w:r>
    </w:p>
    <w:p>
      <w:pPr>
        <w:numPr>
          <w:ilvl w:val="0"/>
          <w:numId w:val="86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Prezes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lub Prokurent powołuje posiedzenie Zarządu i przewodniczy mu. Ostateczna decyzja należy do Fundatora.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0" w:line="259"/>
        <w:ind w:right="0" w:left="4336" w:hanging="1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§19. </w:t>
      </w:r>
    </w:p>
    <w:p>
      <w:pPr>
        <w:numPr>
          <w:ilvl w:val="0"/>
          <w:numId w:val="8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łonkowie Zarządu pracują na rzecz fundacji charytatywnie. </w:t>
      </w:r>
    </w:p>
    <w:p>
      <w:pPr>
        <w:numPr>
          <w:ilvl w:val="0"/>
          <w:numId w:val="8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nagradza Fundator, na podstawie zysk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ów. </w:t>
      </w:r>
    </w:p>
    <w:p>
      <w:pPr>
        <w:numPr>
          <w:ilvl w:val="0"/>
          <w:numId w:val="8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Warunki pracy i p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łacy pracownik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biura Fundacji okre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śla Fundator. </w:t>
      </w:r>
    </w:p>
    <w:p>
      <w:pPr>
        <w:numPr>
          <w:ilvl w:val="0"/>
          <w:numId w:val="8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Wynagrodzenie Fundatora wspieraj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ącego prace fundacji określa się na podstawie przychodu fundacji w okresach kwartalnych. </w:t>
      </w:r>
    </w:p>
    <w:p>
      <w:pPr>
        <w:numPr>
          <w:ilvl w:val="0"/>
          <w:numId w:val="8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Wynagrodzenie Rady Fundacji okre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śla się na podstawie zysku. </w:t>
      </w:r>
    </w:p>
    <w:p>
      <w:pPr>
        <w:spacing w:before="0" w:after="42" w:line="259"/>
        <w:ind w:right="0" w:left="70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0" w:line="259"/>
        <w:ind w:right="0" w:left="4336" w:hanging="1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§20. </w:t>
      </w:r>
    </w:p>
    <w:p>
      <w:p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Do kompetencji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 należy podejmowanie decyzji trafnych i przemyślanych we wszystkich spawach nie zastrzeżonych w Statusie przez Fundatora: a)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Reprezentowania fundacji na zewnątrz. </w:t>
      </w:r>
    </w:p>
    <w:p>
      <w:pPr>
        <w:numPr>
          <w:ilvl w:val="0"/>
          <w:numId w:val="93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Kierowania dzia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łalnością fundacji i odpowiedzialność spoczywa na zarządzie i ostateczna decyzja wymaga akceptacji Fundatora za realizację jej cel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i jej wyników finansowych  </w:t>
      </w:r>
    </w:p>
    <w:p>
      <w:pPr>
        <w:numPr>
          <w:ilvl w:val="0"/>
          <w:numId w:val="93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Administrowanie maj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ątkiem Fundacji w porozumieniu z Fundatorem. </w:t>
      </w:r>
    </w:p>
    <w:p>
      <w:pPr>
        <w:numPr>
          <w:ilvl w:val="0"/>
          <w:numId w:val="93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Przyjmowanie darowizn, subwencji, spadków, darowizn. </w:t>
      </w:r>
    </w:p>
    <w:p>
      <w:pPr>
        <w:numPr>
          <w:ilvl w:val="0"/>
          <w:numId w:val="93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Podejmowaniu decyzji o podj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ęciu działalności gospodarczej w porozumieniu z Fundatorem. </w:t>
      </w:r>
    </w:p>
    <w:p>
      <w:pPr>
        <w:numPr>
          <w:ilvl w:val="0"/>
          <w:numId w:val="93"/>
        </w:numPr>
        <w:spacing w:before="0" w:after="51" w:line="258"/>
        <w:ind w:right="0" w:left="1405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szczególnych wydatkach dotycz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ących całych fundacji oraz jej przychod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co do jej wynagrodzenia indywidualnych decyduje Fundator.  </w:t>
      </w:r>
    </w:p>
    <w:p>
      <w:pPr>
        <w:spacing w:before="0" w:after="47" w:line="259"/>
        <w:ind w:right="0" w:left="4536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0" w:line="259"/>
        <w:ind w:right="0" w:left="3802" w:hanging="1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V </w:t>
      </w:r>
    </w:p>
    <w:p>
      <w:pPr>
        <w:spacing w:before="0" w:after="42" w:line="259"/>
        <w:ind w:right="0" w:left="2426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Łączenie Fundacji 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Zmiana celu i statusu Fundacji </w:t>
      </w:r>
    </w:p>
    <w:p>
      <w:pPr>
        <w:spacing w:before="0" w:after="42" w:line="259"/>
        <w:ind w:right="0" w:left="4536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0" w:line="259"/>
        <w:ind w:right="0" w:left="4336" w:hanging="1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§21. </w:t>
      </w:r>
    </w:p>
    <w:p>
      <w:pPr>
        <w:numPr>
          <w:ilvl w:val="0"/>
          <w:numId w:val="9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łączyć się z inną Fundacją o podobnych celach na warunkach określonych umową obu Fundacji, przy wsp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ólnym porozumieniu za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łożycieli Fundacji. </w:t>
      </w:r>
    </w:p>
    <w:p>
      <w:pPr>
        <w:numPr>
          <w:ilvl w:val="0"/>
          <w:numId w:val="99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imieniu Fundacji umow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zawiera Zarząd Fundacji za zgodą Fundatora. </w:t>
      </w:r>
    </w:p>
    <w:p>
      <w:pPr>
        <w:spacing w:before="0" w:after="0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§22. </w:t>
      </w:r>
    </w:p>
    <w:p>
      <w:pPr>
        <w:numPr>
          <w:ilvl w:val="0"/>
          <w:numId w:val="10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Zmiana statutu Fundacji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być dokonywana przez Zarząd jednomyślnie, przy obecności co najmniej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¾ cz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łonk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ądu, z zastrzeżeniem, że decyzja ostateczna musi być zaakceptowana przez Fundatora. </w:t>
      </w:r>
    </w:p>
    <w:p>
      <w:pPr>
        <w:numPr>
          <w:ilvl w:val="0"/>
          <w:numId w:val="102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Zmiana statutu nie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dotyczyć cel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okre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ślonych w akcie założycielskim. 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VI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Likwidacja fundacji </w:t>
      </w:r>
    </w:p>
    <w:p>
      <w:pPr>
        <w:spacing w:before="0" w:after="42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§23. </w:t>
      </w:r>
    </w:p>
    <w:p>
      <w:pPr>
        <w:numPr>
          <w:ilvl w:val="0"/>
          <w:numId w:val="10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Fundacja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zostać zlikwidowana w momencie wyczerpania środk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 pieni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ężnych i majątku Fundacji lub w innych przypadkach uniemożliwiających działalność statutową. </w:t>
      </w:r>
    </w:p>
    <w:p>
      <w:pPr>
        <w:numPr>
          <w:ilvl w:val="0"/>
          <w:numId w:val="10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Decyzj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o likwidacji Fundacji podejmuje tylko i wyłącznie Fundator.  </w:t>
      </w:r>
    </w:p>
    <w:p>
      <w:pPr>
        <w:numPr>
          <w:ilvl w:val="0"/>
          <w:numId w:val="10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Likwidator po wspólnym uzgodnieniu z Fundatorem mo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że wyznaczyć na warunkach og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ólnych osob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ę przygotowującą czynności Fundacji. </w:t>
      </w:r>
    </w:p>
    <w:p>
      <w:pPr>
        <w:numPr>
          <w:ilvl w:val="0"/>
          <w:numId w:val="108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Środki majątkowe Fundacji po uregulowaniu wszelkich zobowiązań, części pozostałe składu Fundacji otrzymuje Fundator.  </w:t>
      </w:r>
    </w:p>
    <w:p>
      <w:pPr>
        <w:spacing w:before="0" w:after="42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Ł VII </w:t>
      </w:r>
    </w:p>
    <w:p>
      <w:pPr>
        <w:keepNext w:val="true"/>
        <w:keepLines w:val="true"/>
        <w:spacing w:before="0" w:after="44" w:line="259"/>
        <w:ind w:right="0" w:left="10" w:hanging="1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ńcowe </w:t>
      </w:r>
    </w:p>
    <w:p>
      <w:pPr>
        <w:spacing w:before="0" w:after="47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§24. </w:t>
      </w:r>
    </w:p>
    <w:p>
      <w:pPr>
        <w:tabs>
          <w:tab w:val="center" w:pos="4016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Zarz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ąd Fundacji może przyznawać nagrody według uznania Fundatora. </w:t>
      </w:r>
    </w:p>
    <w:p>
      <w:pPr>
        <w:spacing w:before="0" w:after="47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§25. </w:t>
      </w:r>
    </w:p>
    <w:p>
      <w:pPr>
        <w:tabs>
          <w:tab w:val="center" w:pos="4356" w:leader="none"/>
        </w:tabs>
        <w:spacing w:before="0" w:after="51" w:line="258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Statut wchodzi w 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życie z dniem zarejestrowania przez właściwy Sąd Rejonowy. </w:t>
      </w:r>
    </w:p>
    <w:p>
      <w:pPr>
        <w:spacing w:before="0" w:after="47" w:line="259"/>
        <w:ind w:right="0" w:left="6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55" w:line="259"/>
        <w:ind w:right="0" w:left="10" w:hanging="10"/>
        <w:jc w:val="center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§26. </w:t>
      </w:r>
    </w:p>
    <w:p>
      <w:pPr>
        <w:numPr>
          <w:ilvl w:val="0"/>
          <w:numId w:val="12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Fundator jest nieodwo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ływalny, może jedynie wskazać swojego następcę wg swojego uznania. </w:t>
      </w:r>
    </w:p>
    <w:p>
      <w:pPr>
        <w:numPr>
          <w:ilvl w:val="0"/>
          <w:numId w:val="12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Pozosta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łe decyzje będą uzupełniane w formie dodatkowych aneks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ów. </w:t>
      </w:r>
    </w:p>
    <w:p>
      <w:pPr>
        <w:numPr>
          <w:ilvl w:val="0"/>
          <w:numId w:val="120"/>
        </w:numPr>
        <w:spacing w:before="0" w:after="51" w:line="258"/>
        <w:ind w:right="0" w:left="700" w:hanging="700"/>
        <w:jc w:val="both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W kwestiach nieuregulowanych w niniejszym statucie zastosowanie znajd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ą przepisy o fundacjach z dnia 6 kwietnia 1984 r. Dz U. 1984 nr 21 poz. 97. </w:t>
      </w:r>
    </w:p>
    <w:p>
      <w:pPr>
        <w:spacing w:before="0" w:after="0" w:line="259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12">
    <w:abstractNumId w:val="126"/>
  </w:num>
  <w:num w:numId="15">
    <w:abstractNumId w:val="120"/>
  </w:num>
  <w:num w:numId="18">
    <w:abstractNumId w:val="114"/>
  </w:num>
  <w:num w:numId="25">
    <w:abstractNumId w:val="108"/>
  </w:num>
  <w:num w:numId="29">
    <w:abstractNumId w:val="102"/>
  </w:num>
  <w:num w:numId="40">
    <w:abstractNumId w:val="96"/>
  </w:num>
  <w:num w:numId="42">
    <w:abstractNumId w:val="90"/>
  </w:num>
  <w:num w:numId="49">
    <w:abstractNumId w:val="84"/>
  </w:num>
  <w:num w:numId="57">
    <w:abstractNumId w:val="78"/>
  </w:num>
  <w:num w:numId="60">
    <w:abstractNumId w:val="72"/>
  </w:num>
  <w:num w:numId="63">
    <w:abstractNumId w:val="66"/>
  </w:num>
  <w:num w:numId="65">
    <w:abstractNumId w:val="60"/>
  </w:num>
  <w:num w:numId="69">
    <w:abstractNumId w:val="54"/>
  </w:num>
  <w:num w:numId="77">
    <w:abstractNumId w:val="48"/>
  </w:num>
  <w:num w:numId="83">
    <w:abstractNumId w:val="42"/>
  </w:num>
  <w:num w:numId="86">
    <w:abstractNumId w:val="36"/>
  </w:num>
  <w:num w:numId="89">
    <w:abstractNumId w:val="30"/>
  </w:num>
  <w:num w:numId="93">
    <w:abstractNumId w:val="24"/>
  </w:num>
  <w:num w:numId="99">
    <w:abstractNumId w:val="18"/>
  </w:num>
  <w:num w:numId="102">
    <w:abstractNumId w:val="12"/>
  </w:num>
  <w:num w:numId="108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